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E249" w14:textId="77777777" w:rsidR="00F946F5" w:rsidRPr="00F946F5" w:rsidRDefault="00F946F5" w:rsidP="00F946F5">
      <w:pPr>
        <w:jc w:val="both"/>
        <w:rPr>
          <w:rFonts w:ascii="Arial" w:hAnsi="Arial" w:cs="Arial"/>
          <w:b/>
          <w:bCs/>
        </w:rPr>
      </w:pPr>
      <w:r w:rsidRPr="00F946F5">
        <w:rPr>
          <w:rFonts w:ascii="Arial" w:hAnsi="Arial" w:cs="Arial"/>
          <w:b/>
          <w:bCs/>
        </w:rPr>
        <w:t>Assédio Eleitoral no Trabalho: um guia direto ao ponto para RH e Empresas.</w:t>
      </w:r>
    </w:p>
    <w:p w14:paraId="76D8EA6D" w14:textId="77777777" w:rsidR="00F946F5" w:rsidRPr="00F946F5" w:rsidRDefault="00F946F5" w:rsidP="00F946F5">
      <w:pPr>
        <w:jc w:val="both"/>
        <w:rPr>
          <w:rFonts w:ascii="Arial" w:hAnsi="Arial" w:cs="Arial"/>
        </w:rPr>
      </w:pPr>
      <w:r w:rsidRPr="00F946F5">
        <w:rPr>
          <w:rFonts w:ascii="Arial" w:hAnsi="Arial" w:cs="Arial"/>
        </w:rPr>
        <w:t>Imagine a cena: no grupo de Whatsapp da empresa, alguém posta um vídeo institucional sugerindo em quem o time deveria votar. Parece pouco. Mas esse único gesto pode configurar assédio eleitoral, e abrir passivos que vão muito além de uma reclamação trabalhista isolada.</w:t>
      </w:r>
    </w:p>
    <w:p w14:paraId="7AA6449D" w14:textId="77777777" w:rsidR="00F946F5" w:rsidRPr="00F946F5" w:rsidRDefault="00F946F5" w:rsidP="00F946F5">
      <w:pPr>
        <w:jc w:val="both"/>
        <w:rPr>
          <w:rFonts w:ascii="Arial" w:hAnsi="Arial" w:cs="Arial"/>
        </w:rPr>
      </w:pPr>
      <w:r w:rsidRPr="00F946F5">
        <w:rPr>
          <w:rFonts w:ascii="Arial" w:hAnsi="Arial" w:cs="Arial"/>
        </w:rPr>
        <w:t>Desde as eleições de 2022, o assédio eleitoral nas empresas virou prioridade de fiscalização para o Ministério Público do Trabalho (MPT), a Justiça do Trabalho e a Justiça Eleitoral, que hoje atuam de forma cada vez mais coordenada. Para quem lidera o setor de Recursos Humanos, jurídico, ou a própria empresa, entender onde termina o diálogo legítimo sobre política e onde começa a conduta ilícita não é mais um cuidado opcional. É gestão de risco, com consequências jurídicas, financeiras e reputacionais bastante concretas.</w:t>
      </w:r>
    </w:p>
    <w:p w14:paraId="57A34653"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Afinal, o que é assédio eleitoral no ambiente de trabalho?</w:t>
      </w:r>
    </w:p>
    <w:p w14:paraId="2DCDD1C5" w14:textId="77777777" w:rsidR="00F946F5" w:rsidRPr="00F946F5" w:rsidRDefault="00F946F5" w:rsidP="00F946F5">
      <w:pPr>
        <w:jc w:val="both"/>
        <w:rPr>
          <w:rFonts w:ascii="Arial" w:hAnsi="Arial" w:cs="Arial"/>
        </w:rPr>
      </w:pPr>
      <w:r w:rsidRPr="00F946F5">
        <w:rPr>
          <w:rFonts w:ascii="Arial" w:hAnsi="Arial" w:cs="Arial"/>
        </w:rPr>
        <w:t>Em termos simples, é usar coação, intimidação, ameaça, humilhação ou constrangimento, ligados a uma eleição, para tentar influenciar o voto, o apoio ou a manifestação política de alguém, dentro ou fora da empresa, desde que a situação esteja relacionada ao trabalho.</w:t>
      </w:r>
    </w:p>
    <w:p w14:paraId="4BF53075" w14:textId="77777777" w:rsidR="00F946F5" w:rsidRPr="00F946F5" w:rsidRDefault="00F946F5" w:rsidP="00F946F5">
      <w:pPr>
        <w:jc w:val="both"/>
        <w:rPr>
          <w:rFonts w:ascii="Arial" w:hAnsi="Arial" w:cs="Arial"/>
        </w:rPr>
      </w:pPr>
      <w:r w:rsidRPr="00F946F5">
        <w:rPr>
          <w:rFonts w:ascii="Arial" w:hAnsi="Arial" w:cs="Arial"/>
        </w:rPr>
        <w:t xml:space="preserve"> A Resolução CSJT n° 355/2023, republicada pela Resolução CSJT n° 376/2024, traz a definição que hoje orienta toda a Justiça do Trabalho. A norma considera assédio eleitoral qualquer distinção, exclusão, ou preferência baseada em convicção política de empregados, no trabalho ou em situações a ele relacionada.</w:t>
      </w:r>
    </w:p>
    <w:p w14:paraId="1850D3B2"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Duas coisas valem muito a pena grifar já de início:</w:t>
      </w:r>
    </w:p>
    <w:p w14:paraId="6FD6094F" w14:textId="77777777" w:rsidR="00F946F5" w:rsidRPr="00F946F5" w:rsidRDefault="00F946F5" w:rsidP="00F946F5">
      <w:pPr>
        <w:numPr>
          <w:ilvl w:val="0"/>
          <w:numId w:val="2"/>
        </w:numPr>
        <w:jc w:val="both"/>
        <w:rPr>
          <w:rFonts w:ascii="Arial" w:hAnsi="Arial" w:cs="Arial"/>
        </w:rPr>
      </w:pPr>
      <w:r w:rsidRPr="00F946F5">
        <w:rPr>
          <w:rFonts w:ascii="Arial" w:hAnsi="Arial" w:cs="Arial"/>
        </w:rPr>
        <w:t xml:space="preserve">Um </w:t>
      </w:r>
      <w:proofErr w:type="gramStart"/>
      <w:r w:rsidRPr="00F946F5">
        <w:rPr>
          <w:rFonts w:ascii="Arial" w:hAnsi="Arial" w:cs="Arial"/>
        </w:rPr>
        <w:t>único ato basta</w:t>
      </w:r>
      <w:proofErr w:type="gramEnd"/>
      <w:r w:rsidRPr="00F946F5">
        <w:rPr>
          <w:rFonts w:ascii="Arial" w:hAnsi="Arial" w:cs="Arial"/>
        </w:rPr>
        <w:t>. Não Precisa se repetir. Um vídeo institucional pressionando sobre o resultado das eleições, sozinho, já pode gerar responsabilização;</w:t>
      </w:r>
    </w:p>
    <w:p w14:paraId="01301E01" w14:textId="77777777" w:rsidR="00F946F5" w:rsidRPr="00F946F5" w:rsidRDefault="00F946F5" w:rsidP="00F946F5">
      <w:pPr>
        <w:numPr>
          <w:ilvl w:val="0"/>
          <w:numId w:val="2"/>
        </w:numPr>
        <w:jc w:val="both"/>
        <w:rPr>
          <w:rFonts w:ascii="Arial" w:hAnsi="Arial" w:cs="Arial"/>
        </w:rPr>
      </w:pPr>
      <w:r w:rsidRPr="00F946F5">
        <w:rPr>
          <w:rFonts w:ascii="Arial" w:hAnsi="Arial" w:cs="Arial"/>
        </w:rPr>
        <w:t>Não precisa haver hierarquia. O assédio pode partir de colegas do mesmo nível, de subordinados contra chefes, de terceiros como clientes e fornecedores, e, claro, do empregador contra empregados, que é o cenário mais comum, justamente por concentrar poder econômico e disciplinar.</w:t>
      </w:r>
    </w:p>
    <w:p w14:paraId="2DFBBB0C" w14:textId="77777777" w:rsidR="00F946F5" w:rsidRPr="00F946F5" w:rsidRDefault="00F946F5" w:rsidP="00F946F5">
      <w:pPr>
        <w:jc w:val="both"/>
        <w:rPr>
          <w:rFonts w:ascii="Arial" w:hAnsi="Arial" w:cs="Arial"/>
        </w:rPr>
      </w:pPr>
    </w:p>
    <w:p w14:paraId="2D43750F"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De onde vem essa responsabilização?</w:t>
      </w:r>
    </w:p>
    <w:p w14:paraId="0FEE7A2F" w14:textId="77777777" w:rsidR="00F946F5" w:rsidRPr="00F946F5" w:rsidRDefault="00F946F5" w:rsidP="00F946F5">
      <w:pPr>
        <w:jc w:val="both"/>
        <w:rPr>
          <w:rFonts w:ascii="Arial" w:hAnsi="Arial" w:cs="Arial"/>
        </w:rPr>
      </w:pPr>
      <w:r w:rsidRPr="00F946F5">
        <w:rPr>
          <w:rFonts w:ascii="Arial" w:hAnsi="Arial" w:cs="Arial"/>
        </w:rPr>
        <w:t>O arcabouço que sustenta o tema é amplo e vem de várias diplomas normativos como:</w:t>
      </w:r>
    </w:p>
    <w:p w14:paraId="4AD221F8" w14:textId="77777777" w:rsidR="00F946F5" w:rsidRPr="00F946F5" w:rsidRDefault="00F946F5" w:rsidP="00F946F5">
      <w:pPr>
        <w:jc w:val="both"/>
        <w:rPr>
          <w:rFonts w:ascii="Arial" w:hAnsi="Arial" w:cs="Arial"/>
        </w:rPr>
      </w:pPr>
      <w:r w:rsidRPr="00F946F5">
        <w:rPr>
          <w:rFonts w:ascii="Arial" w:hAnsi="Arial" w:cs="Arial"/>
        </w:rPr>
        <w:lastRenderedPageBreak/>
        <w:t>Na Constituição Federal, temos a previsão de liberdade de convicção política e de expressão, voto direto e secreto, disposto no art. 5°, IV, VI e VIII, art. 14 além da dignidade da pessoa humana e o pluralismo político, no art. 1°, II e V).</w:t>
      </w:r>
    </w:p>
    <w:p w14:paraId="7A6E14D3" w14:textId="77777777" w:rsidR="00F946F5" w:rsidRPr="00F946F5" w:rsidRDefault="00F946F5" w:rsidP="00F946F5">
      <w:pPr>
        <w:jc w:val="both"/>
        <w:rPr>
          <w:rFonts w:ascii="Arial" w:hAnsi="Arial" w:cs="Arial"/>
        </w:rPr>
      </w:pPr>
      <w:r w:rsidRPr="00F946F5">
        <w:rPr>
          <w:rFonts w:ascii="Arial" w:hAnsi="Arial" w:cs="Arial"/>
        </w:rPr>
        <w:t>No Código Eleitoral, Lei n° 4.737/65, encontramos a tipificação como o crime da coação eleitoral, art. 301, a corrupção eleitoral, art. 299, a coação por servidor público, art. 300 e o embaraço ao exercício do voto, art. 297, com penas de detenção ou reclusão.</w:t>
      </w:r>
    </w:p>
    <w:p w14:paraId="6C21D032" w14:textId="77777777" w:rsidR="00F946F5" w:rsidRPr="00F946F5" w:rsidRDefault="00F946F5" w:rsidP="00F946F5">
      <w:pPr>
        <w:jc w:val="both"/>
        <w:rPr>
          <w:rFonts w:ascii="Arial" w:hAnsi="Arial" w:cs="Arial"/>
        </w:rPr>
      </w:pPr>
      <w:r w:rsidRPr="00F946F5">
        <w:rPr>
          <w:rFonts w:ascii="Arial" w:hAnsi="Arial" w:cs="Arial"/>
        </w:rPr>
        <w:t>Na Lei das Eleições, Lei n° 9.504/97, encontramos no art. 37, o qual proíbe propaganda eleitoral em bens de uso comum, sendo esse artigo interpretado pelo Tribunal Superior Eleitoral (TSE) tendo por entendimento de que ambientes empresariais, mesmo que seja estabelecimento privado, é classificado como ambiente de acesso coletivo, sendo vedado seu uso para propaganda eleitoral de qualquer natureza.</w:t>
      </w:r>
    </w:p>
    <w:p w14:paraId="683CFD95" w14:textId="77777777" w:rsidR="00F946F5" w:rsidRPr="00F946F5" w:rsidRDefault="00F946F5" w:rsidP="00F946F5">
      <w:pPr>
        <w:jc w:val="both"/>
        <w:rPr>
          <w:rFonts w:ascii="Arial" w:hAnsi="Arial" w:cs="Arial"/>
        </w:rPr>
      </w:pPr>
      <w:r w:rsidRPr="00F946F5">
        <w:rPr>
          <w:rFonts w:ascii="Arial" w:hAnsi="Arial" w:cs="Arial"/>
        </w:rPr>
        <w:t>Na CLT, no art. 510-B, exige tratamento justo e imparcial, vedando discriminação por opinião política.</w:t>
      </w:r>
    </w:p>
    <w:p w14:paraId="06D91ADE" w14:textId="77777777" w:rsidR="00F946F5" w:rsidRPr="00F946F5" w:rsidRDefault="00F946F5" w:rsidP="00F946F5">
      <w:pPr>
        <w:jc w:val="both"/>
        <w:rPr>
          <w:rFonts w:ascii="Arial" w:hAnsi="Arial" w:cs="Arial"/>
        </w:rPr>
      </w:pPr>
      <w:r w:rsidRPr="00F946F5">
        <w:rPr>
          <w:rFonts w:ascii="Arial" w:hAnsi="Arial" w:cs="Arial"/>
        </w:rPr>
        <w:t>Podemos observar, essa preocupação na Conferência Geral da Organização Internacional do Trabalho, onde na Convenção n° 190 da OIT, aplicável ao Brasil em decorrência da aplicação do art. 8° da CLT, trata violência e assédio no trabalho como um conceito único, bastando uma única ocorrência.</w:t>
      </w:r>
    </w:p>
    <w:p w14:paraId="51E8730A" w14:textId="77777777" w:rsidR="00F946F5" w:rsidRPr="00F946F5" w:rsidRDefault="00F946F5" w:rsidP="00F946F5">
      <w:pPr>
        <w:jc w:val="both"/>
        <w:rPr>
          <w:rFonts w:ascii="Arial" w:hAnsi="Arial" w:cs="Arial"/>
        </w:rPr>
      </w:pPr>
      <w:r w:rsidRPr="00F946F5">
        <w:rPr>
          <w:rFonts w:ascii="Arial" w:hAnsi="Arial" w:cs="Arial"/>
        </w:rPr>
        <w:t>A Resolução do TSE n° 23.735/2024, prevê em seu art. 6°, §5°, que usar a estrutura da empresa para constranger trabalhadores, explorando sua dependência econômica, pode configurar abuso de poder econômico.</w:t>
      </w:r>
    </w:p>
    <w:p w14:paraId="5D922FE8" w14:textId="77777777" w:rsidR="00F946F5" w:rsidRPr="00F946F5" w:rsidRDefault="00F946F5" w:rsidP="00F946F5">
      <w:pPr>
        <w:jc w:val="both"/>
        <w:rPr>
          <w:rFonts w:ascii="Arial" w:hAnsi="Arial" w:cs="Arial"/>
        </w:rPr>
      </w:pPr>
      <w:r w:rsidRPr="00F946F5">
        <w:rPr>
          <w:rFonts w:ascii="Arial" w:hAnsi="Arial" w:cs="Arial"/>
        </w:rPr>
        <w:t>Por sua vez, a TSE Resolução 23.755/2026, inseriu o art. 19, §2°-A, vedando a propaganda eleitoral ou assédio eleitoral em ambiente de trabalho público ou privado, responsabilizando tanto quem der causa ou ainda aquele que permitir que aconteça.</w:t>
      </w:r>
    </w:p>
    <w:p w14:paraId="4C44B8FD" w14:textId="77777777" w:rsidR="00F946F5" w:rsidRPr="00F946F5" w:rsidRDefault="00F946F5" w:rsidP="00F946F5">
      <w:pPr>
        <w:jc w:val="both"/>
        <w:rPr>
          <w:rFonts w:ascii="Arial" w:hAnsi="Arial" w:cs="Arial"/>
        </w:rPr>
      </w:pPr>
      <w:r w:rsidRPr="00F946F5">
        <w:rPr>
          <w:rFonts w:ascii="Arial" w:hAnsi="Arial" w:cs="Arial"/>
        </w:rPr>
        <w:t xml:space="preserve">Nesse diapasão, vale a pena entender melhor o §2°-A, trazido pela Resolução TSE n° 23.755/2026, porque ele muda o patamar de exigência sobre as empresas e trará de duas infrações distintas, não apenas uma. O “ou” da redação no artigo, separa duas situações, de um lado, a simples propaganda eleitoral na empresa, que já é irregular </w:t>
      </w:r>
      <w:proofErr w:type="spellStart"/>
      <w:r w:rsidRPr="00F946F5">
        <w:rPr>
          <w:rFonts w:ascii="Arial" w:hAnsi="Arial" w:cs="Arial"/>
        </w:rPr>
        <w:t>independente</w:t>
      </w:r>
      <w:proofErr w:type="spellEnd"/>
      <w:r w:rsidRPr="00F946F5">
        <w:rPr>
          <w:rFonts w:ascii="Arial" w:hAnsi="Arial" w:cs="Arial"/>
        </w:rPr>
        <w:t xml:space="preserve"> de haver constrangimento comprovado, bastando a circulação de material de campanha em murais, refeitórios ou áreas comuns, de outro, o assédio eleitoral propriamente dito, que segue exigindo o uso do poder diretivo, da hierarquia, ou da dependência econômica para interferir na liberdade política de alguém. Na prática, isso significa que aquele cartaz de campanha que um colega deixava na copa, antes visto como algo tolerável, hoje é irregularidade autônoma, mesmo sem constranger ninguém.</w:t>
      </w:r>
    </w:p>
    <w:p w14:paraId="0379965C" w14:textId="77777777" w:rsidR="00F946F5" w:rsidRPr="00F946F5" w:rsidRDefault="00F946F5" w:rsidP="00F946F5">
      <w:pPr>
        <w:jc w:val="both"/>
        <w:rPr>
          <w:rFonts w:ascii="Arial" w:hAnsi="Arial" w:cs="Arial"/>
        </w:rPr>
      </w:pPr>
      <w:r w:rsidRPr="00F946F5">
        <w:rPr>
          <w:rFonts w:ascii="Arial" w:hAnsi="Arial" w:cs="Arial"/>
        </w:rPr>
        <w:lastRenderedPageBreak/>
        <w:t>Há ainda outro detalhe muito importante, a norma responsabiliza não só quem pratica a conduta, mas também quem “permitir sua ocorrência”. Isso impõe à empresa um dever de vigilância e prevenção, não é responsabilidade objetiva pura, mas admite a imputação por omissão quando a empresa sabe do fato e não faz nada para contê-lo. É nesse fundamento por trás do que se passou a chamar de “compliance eleitoral”, a neutralidade passiva não basta mais, é preciso adotar uma postura ativa de prevenção.</w:t>
      </w:r>
    </w:p>
    <w:p w14:paraId="6A89EFBB"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Mas onde está a linha entre diálogo legítimo e assédio?</w:t>
      </w:r>
    </w:p>
    <w:p w14:paraId="48BECE7F" w14:textId="77777777" w:rsidR="00F946F5" w:rsidRPr="00F946F5" w:rsidRDefault="00F946F5" w:rsidP="00F946F5">
      <w:pPr>
        <w:jc w:val="both"/>
        <w:rPr>
          <w:rFonts w:ascii="Arial" w:hAnsi="Arial" w:cs="Arial"/>
        </w:rPr>
      </w:pPr>
      <w:r w:rsidRPr="00F946F5">
        <w:rPr>
          <w:rFonts w:ascii="Arial" w:hAnsi="Arial" w:cs="Arial"/>
        </w:rPr>
        <w:t>O problema não é o empregador ter opinião, todo cidadão tem esse direito, inclusive o empresário. O problema é quando há imposição de convicção usando o poder econômico ou hierárquico sobre quem depende do emprego para viver. É exatamente essa linha que uma política de neutralidade política empresarial precisa deixar clara.</w:t>
      </w:r>
    </w:p>
    <w:p w14:paraId="5B04B7C0"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O que é permitido?</w:t>
      </w:r>
    </w:p>
    <w:p w14:paraId="5F0A23E1" w14:textId="77777777" w:rsidR="00F946F5" w:rsidRPr="00F946F5" w:rsidRDefault="00F946F5" w:rsidP="00F946F5">
      <w:pPr>
        <w:jc w:val="both"/>
        <w:rPr>
          <w:rFonts w:ascii="Arial" w:hAnsi="Arial" w:cs="Arial"/>
        </w:rPr>
      </w:pPr>
      <w:r w:rsidRPr="00F946F5">
        <w:rPr>
          <w:rFonts w:ascii="Arial" w:hAnsi="Arial" w:cs="Arial"/>
        </w:rPr>
        <w:t>Garantir e informar o direito de se ausentar do trabalho para votar, conforme previsto no art. 234 do Código Eleitoral, sem prejuízo de remuneração ou cobrança de compensação de horas;</w:t>
      </w:r>
    </w:p>
    <w:p w14:paraId="230F547E" w14:textId="77777777" w:rsidR="00F946F5" w:rsidRPr="00F946F5" w:rsidRDefault="00F946F5" w:rsidP="00F946F5">
      <w:pPr>
        <w:jc w:val="both"/>
        <w:rPr>
          <w:rFonts w:ascii="Arial" w:hAnsi="Arial" w:cs="Arial"/>
        </w:rPr>
      </w:pPr>
      <w:r w:rsidRPr="00F946F5">
        <w:rPr>
          <w:rFonts w:ascii="Arial" w:hAnsi="Arial" w:cs="Arial"/>
        </w:rPr>
        <w:t>Esclarecer, de forma neutra, prazos eleitorais, funcionamento da Justiça Eleitoral ou a obrigatoriedade do voto;</w:t>
      </w:r>
    </w:p>
    <w:p w14:paraId="1E2932E1" w14:textId="77777777" w:rsidR="00F946F5" w:rsidRPr="00F946F5" w:rsidRDefault="00F946F5" w:rsidP="00F946F5">
      <w:pPr>
        <w:jc w:val="both"/>
        <w:rPr>
          <w:rFonts w:ascii="Arial" w:hAnsi="Arial" w:cs="Arial"/>
        </w:rPr>
      </w:pPr>
      <w:r w:rsidRPr="00F946F5">
        <w:rPr>
          <w:rFonts w:ascii="Arial" w:hAnsi="Arial" w:cs="Arial"/>
        </w:rPr>
        <w:t>Deixar que os próprios empregados troquem opiniões políticas espontaneamente entre si, sem pressão hierárquica e sem constranger quem preferir não participar.</w:t>
      </w:r>
    </w:p>
    <w:p w14:paraId="2D9191B2" w14:textId="77777777" w:rsidR="00F946F5" w:rsidRPr="00F946F5" w:rsidRDefault="00F946F5" w:rsidP="00F946F5">
      <w:pPr>
        <w:jc w:val="both"/>
        <w:rPr>
          <w:rFonts w:ascii="Arial" w:hAnsi="Arial" w:cs="Arial"/>
        </w:rPr>
      </w:pPr>
    </w:p>
    <w:p w14:paraId="448F16BB"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O que configura assédio eleitoral?</w:t>
      </w:r>
    </w:p>
    <w:p w14:paraId="4067DF32" w14:textId="77777777" w:rsidR="00F946F5" w:rsidRPr="00F946F5" w:rsidRDefault="00F946F5" w:rsidP="00F946F5">
      <w:pPr>
        <w:jc w:val="both"/>
        <w:rPr>
          <w:rFonts w:ascii="Arial" w:hAnsi="Arial" w:cs="Arial"/>
        </w:rPr>
      </w:pPr>
      <w:r w:rsidRPr="00F946F5">
        <w:rPr>
          <w:rFonts w:ascii="Arial" w:hAnsi="Arial" w:cs="Arial"/>
        </w:rPr>
        <w:t>Prometer benefício ou ameaçar prejuízo, como demissão, corte de vagas, fechamento da empresa, mudança de escala, vinculado ao resultado da eleição ou à posição política de alguém;</w:t>
      </w:r>
    </w:p>
    <w:p w14:paraId="6BEA6424" w14:textId="77777777" w:rsidR="00F946F5" w:rsidRPr="00F946F5" w:rsidRDefault="00F946F5" w:rsidP="00F946F5">
      <w:pPr>
        <w:jc w:val="both"/>
        <w:rPr>
          <w:rFonts w:ascii="Arial" w:hAnsi="Arial" w:cs="Arial"/>
        </w:rPr>
      </w:pPr>
      <w:r w:rsidRPr="00F946F5">
        <w:rPr>
          <w:rFonts w:ascii="Arial" w:hAnsi="Arial" w:cs="Arial"/>
        </w:rPr>
        <w:t>Impor uniforme, botons, adesivos, ou qualquer item com cores, símbolos ou dizeres de campanha;</w:t>
      </w:r>
    </w:p>
    <w:p w14:paraId="1A10B743" w14:textId="77777777" w:rsidR="00F946F5" w:rsidRPr="00F946F5" w:rsidRDefault="00F946F5" w:rsidP="00F946F5">
      <w:pPr>
        <w:jc w:val="both"/>
        <w:rPr>
          <w:rFonts w:ascii="Arial" w:hAnsi="Arial" w:cs="Arial"/>
        </w:rPr>
      </w:pPr>
      <w:r w:rsidRPr="00F946F5">
        <w:rPr>
          <w:rFonts w:ascii="Arial" w:hAnsi="Arial" w:cs="Arial"/>
        </w:rPr>
        <w:t>Distribuir material de propaganda ou expor cartazes e banners no local de trabalho;</w:t>
      </w:r>
    </w:p>
    <w:p w14:paraId="0E533453" w14:textId="77777777" w:rsidR="00F946F5" w:rsidRPr="00F946F5" w:rsidRDefault="00F946F5" w:rsidP="00F946F5">
      <w:pPr>
        <w:jc w:val="both"/>
        <w:rPr>
          <w:rFonts w:ascii="Arial" w:hAnsi="Arial" w:cs="Arial"/>
        </w:rPr>
      </w:pPr>
      <w:r w:rsidRPr="00F946F5">
        <w:rPr>
          <w:rFonts w:ascii="Arial" w:hAnsi="Arial" w:cs="Arial"/>
        </w:rPr>
        <w:t>Fazer reuniões corporativas, presenciais ou virtuais, para tratar de orientação política ou pressionar o voto;</w:t>
      </w:r>
    </w:p>
    <w:p w14:paraId="290B035C" w14:textId="77777777" w:rsidR="00F946F5" w:rsidRPr="00F946F5" w:rsidRDefault="00F946F5" w:rsidP="00F946F5">
      <w:pPr>
        <w:jc w:val="both"/>
        <w:rPr>
          <w:rFonts w:ascii="Arial" w:hAnsi="Arial" w:cs="Arial"/>
        </w:rPr>
      </w:pPr>
      <w:r w:rsidRPr="00F946F5">
        <w:rPr>
          <w:rFonts w:ascii="Arial" w:hAnsi="Arial" w:cs="Arial"/>
        </w:rPr>
        <w:t>Espalhar, em grupos ou redes internas, discursos que incitem discriminação contra quem pensa diferente politicamente;</w:t>
      </w:r>
    </w:p>
    <w:p w14:paraId="268CA489" w14:textId="77777777" w:rsidR="00F946F5" w:rsidRPr="00F946F5" w:rsidRDefault="00F946F5" w:rsidP="00F946F5">
      <w:pPr>
        <w:jc w:val="both"/>
        <w:rPr>
          <w:rFonts w:ascii="Arial" w:hAnsi="Arial" w:cs="Arial"/>
        </w:rPr>
      </w:pPr>
      <w:r w:rsidRPr="00F946F5">
        <w:rPr>
          <w:rFonts w:ascii="Arial" w:hAnsi="Arial" w:cs="Arial"/>
        </w:rPr>
        <w:lastRenderedPageBreak/>
        <w:t>Exigir prova do voto, foto da urna, filmagem, seção eleitoral, ou reter documentos que impeçam alguém de votar;</w:t>
      </w:r>
    </w:p>
    <w:p w14:paraId="7C90D383" w14:textId="77777777" w:rsidR="00F946F5" w:rsidRPr="00F946F5" w:rsidRDefault="00F946F5" w:rsidP="00F946F5">
      <w:pPr>
        <w:jc w:val="both"/>
        <w:rPr>
          <w:rFonts w:ascii="Arial" w:hAnsi="Arial" w:cs="Arial"/>
        </w:rPr>
      </w:pPr>
      <w:r w:rsidRPr="00F946F5">
        <w:rPr>
          <w:rFonts w:ascii="Arial" w:hAnsi="Arial" w:cs="Arial"/>
        </w:rPr>
        <w:t>Retaliar, humilhar ou tratar de forma diferente quem apoia um candidato distinto do defendido pela liderança;</w:t>
      </w:r>
    </w:p>
    <w:p w14:paraId="5B0F4E30" w14:textId="77777777" w:rsidR="00F946F5" w:rsidRPr="00F946F5" w:rsidRDefault="00F946F5" w:rsidP="00F946F5">
      <w:pPr>
        <w:jc w:val="both"/>
        <w:rPr>
          <w:rFonts w:ascii="Arial" w:hAnsi="Arial" w:cs="Arial"/>
        </w:rPr>
      </w:pPr>
      <w:r w:rsidRPr="00F946F5">
        <w:rPr>
          <w:rFonts w:ascii="Arial" w:hAnsi="Arial" w:cs="Arial"/>
        </w:rPr>
        <w:t>Não liberar o empregado para votar, ou exigir, compensação de horas pelo tempo usado para isso.</w:t>
      </w:r>
    </w:p>
    <w:p w14:paraId="75375C2E" w14:textId="77777777" w:rsidR="00F946F5" w:rsidRPr="00F946F5" w:rsidRDefault="00F946F5" w:rsidP="00F946F5">
      <w:pPr>
        <w:jc w:val="both"/>
        <w:rPr>
          <w:rFonts w:ascii="Arial" w:hAnsi="Arial" w:cs="Arial"/>
        </w:rPr>
      </w:pPr>
      <w:r w:rsidRPr="00F946F5">
        <w:rPr>
          <w:rFonts w:ascii="Arial" w:hAnsi="Arial" w:cs="Arial"/>
        </w:rPr>
        <w:t>A falta de prova de intenção não afasta a responsabilização. O TST já decidiu que uma campanha ofensiva de cunho político-partidário no ambiente de trabalho, mesmo sem imposição expressa de convicções, configura abuso do poder diretivo do empregador (TST-</w:t>
      </w:r>
      <w:proofErr w:type="spellStart"/>
      <w:r w:rsidRPr="00F946F5">
        <w:rPr>
          <w:rFonts w:ascii="Arial" w:hAnsi="Arial" w:cs="Arial"/>
        </w:rPr>
        <w:t>RRAg</w:t>
      </w:r>
      <w:proofErr w:type="spellEnd"/>
      <w:r w:rsidRPr="00F946F5">
        <w:rPr>
          <w:rFonts w:ascii="Arial" w:hAnsi="Arial" w:cs="Arial"/>
        </w:rPr>
        <w:t xml:space="preserve"> 0010460-31.2016.5.15.0038, 2ª Turma, j. 13/03/2024).</w:t>
      </w:r>
    </w:p>
    <w:p w14:paraId="67D83B42" w14:textId="77777777" w:rsidR="00F946F5" w:rsidRPr="00F946F5" w:rsidRDefault="00F946F5" w:rsidP="00F946F5">
      <w:pPr>
        <w:jc w:val="both"/>
        <w:rPr>
          <w:rFonts w:ascii="Arial" w:hAnsi="Arial" w:cs="Arial"/>
        </w:rPr>
      </w:pPr>
      <w:r w:rsidRPr="00F946F5">
        <w:rPr>
          <w:rFonts w:ascii="Arial" w:hAnsi="Arial" w:cs="Arial"/>
        </w:rPr>
        <w:t>Por outro lado, é importante que o RH também reconheça o que não é assédio. A jurisprudência não pune i exercício legítimo da liberdade de expressão fora de um contexto de coação. O que diferencia o lícito do ilícito não é a existência de opinião política, mas a presença de constrangimento, imposição ou uso de poder para direcionar o voto, é a intolerância política e o cerceamento à livre manifestação de pensamento que configuram o ilícito, não a simples convicção do empregador.</w:t>
      </w:r>
    </w:p>
    <w:p w14:paraId="6D663834" w14:textId="77777777" w:rsidR="00F946F5" w:rsidRPr="00F946F5" w:rsidRDefault="00F946F5" w:rsidP="00F946F5">
      <w:pPr>
        <w:jc w:val="both"/>
        <w:rPr>
          <w:rFonts w:ascii="Arial" w:hAnsi="Arial" w:cs="Arial"/>
        </w:rPr>
      </w:pPr>
    </w:p>
    <w:p w14:paraId="05870BF2" w14:textId="77777777" w:rsidR="00F946F5" w:rsidRPr="00F946F5" w:rsidRDefault="00F946F5" w:rsidP="00F946F5">
      <w:pPr>
        <w:jc w:val="both"/>
        <w:rPr>
          <w:rFonts w:ascii="Arial" w:hAnsi="Arial" w:cs="Arial"/>
        </w:rPr>
      </w:pPr>
    </w:p>
    <w:p w14:paraId="28E1E981"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As zonas cinzentas que mais tiram o sono do RH.</w:t>
      </w:r>
    </w:p>
    <w:p w14:paraId="7DC7C23E" w14:textId="77777777" w:rsidR="00F946F5" w:rsidRPr="00F946F5" w:rsidRDefault="00F946F5" w:rsidP="00F946F5">
      <w:pPr>
        <w:jc w:val="both"/>
        <w:rPr>
          <w:rFonts w:ascii="Arial" w:hAnsi="Arial" w:cs="Arial"/>
        </w:rPr>
      </w:pPr>
      <w:r w:rsidRPr="00F946F5">
        <w:rPr>
          <w:rFonts w:ascii="Arial" w:hAnsi="Arial" w:cs="Arial"/>
        </w:rPr>
        <w:t>Fora dos exemplos claramente proibidos, há situações intermediárias que geram bastante insegurança na prática, como:</w:t>
      </w:r>
    </w:p>
    <w:p w14:paraId="7373B031" w14:textId="77777777" w:rsidR="00F946F5" w:rsidRPr="00F946F5" w:rsidRDefault="00F946F5" w:rsidP="00F946F5">
      <w:pPr>
        <w:jc w:val="both"/>
        <w:rPr>
          <w:rFonts w:ascii="Arial" w:hAnsi="Arial" w:cs="Arial"/>
        </w:rPr>
      </w:pPr>
      <w:r w:rsidRPr="00F946F5">
        <w:rPr>
          <w:rFonts w:ascii="Arial" w:hAnsi="Arial" w:cs="Arial"/>
        </w:rPr>
        <w:t>Post pessoal de sócio ou diretor nas redes sociais. Em princípio, a manifestação política pessoal de um executivo, em perfil próprio e fora do contexto de trabalho, não compromete a empresa automaticamente. O risco cresce se o conteúdo dor direcionado a subordinados, replicado em canais internos, ou se houver qualquer sinal, mesmo que indireto, de expectativa de engajamento dos empregados.</w:t>
      </w:r>
    </w:p>
    <w:p w14:paraId="383B48C1" w14:textId="77777777" w:rsidR="00F946F5" w:rsidRPr="00F946F5" w:rsidRDefault="00F946F5" w:rsidP="00F946F5">
      <w:pPr>
        <w:jc w:val="both"/>
        <w:rPr>
          <w:rFonts w:ascii="Arial" w:hAnsi="Arial" w:cs="Arial"/>
        </w:rPr>
      </w:pPr>
      <w:r w:rsidRPr="00F946F5">
        <w:rPr>
          <w:rFonts w:ascii="Arial" w:hAnsi="Arial" w:cs="Arial"/>
        </w:rPr>
        <w:t xml:space="preserve">Confraternizações e eventos da empresa. Uma conversa espontânea sobre política </w:t>
      </w:r>
      <w:proofErr w:type="spellStart"/>
      <w:r w:rsidRPr="00F946F5">
        <w:rPr>
          <w:rFonts w:ascii="Arial" w:hAnsi="Arial" w:cs="Arial"/>
        </w:rPr>
        <w:t>num</w:t>
      </w:r>
      <w:proofErr w:type="spellEnd"/>
      <w:r w:rsidRPr="00F946F5">
        <w:rPr>
          <w:rFonts w:ascii="Arial" w:hAnsi="Arial" w:cs="Arial"/>
        </w:rPr>
        <w:t xml:space="preserve"> happy hour custeado pela empresa não é, por si só, assédio eleitoral. O problema aparece se a liderança conduzir o assunto, insistir numa posição, ou se alguém for constrangido por discordar. Valo orientar anfitriões e líderes a não puxar esse papo em eventos corporativos. </w:t>
      </w:r>
    </w:p>
    <w:p w14:paraId="5562DED1" w14:textId="77777777" w:rsidR="00F946F5" w:rsidRPr="00F946F5" w:rsidRDefault="00F946F5" w:rsidP="00F946F5">
      <w:pPr>
        <w:jc w:val="both"/>
        <w:rPr>
          <w:rFonts w:ascii="Arial" w:hAnsi="Arial" w:cs="Arial"/>
        </w:rPr>
      </w:pPr>
      <w:r w:rsidRPr="00F946F5">
        <w:rPr>
          <w:rFonts w:ascii="Arial" w:hAnsi="Arial" w:cs="Arial"/>
        </w:rPr>
        <w:t>Grupos de Whatsapp de trabalho usados mesmo que informalmente. Se o grupo é de uso obrigatório para a função, qualquer conteúdo político nele, mesmo vindo de um colega, não da chefia, pode ser tratado como ambiente de trabalho para fins de responsabilização, principalmente se a liderança sabe e não faz nada.</w:t>
      </w:r>
    </w:p>
    <w:p w14:paraId="4D0AD570" w14:textId="77777777" w:rsidR="00F946F5" w:rsidRPr="00F946F5" w:rsidRDefault="00F946F5" w:rsidP="00F946F5">
      <w:pPr>
        <w:jc w:val="both"/>
        <w:rPr>
          <w:rFonts w:ascii="Arial" w:hAnsi="Arial" w:cs="Arial"/>
        </w:rPr>
      </w:pPr>
      <w:r w:rsidRPr="00F946F5">
        <w:rPr>
          <w:rFonts w:ascii="Arial" w:hAnsi="Arial" w:cs="Arial"/>
        </w:rPr>
        <w:lastRenderedPageBreak/>
        <w:t>Comunicação institucional sobre pautas de interesse público. Posições sobre direitos humanos, meio ambiente, ou diversidade, não são propaganda eleitoral por si só, mas o risco aparece se, ainda que implicitamente, forem vinculadas a um candidato ou partido específico.</w:t>
      </w:r>
    </w:p>
    <w:p w14:paraId="33AAF78A" w14:textId="77777777" w:rsidR="00F946F5" w:rsidRPr="00F946F5" w:rsidRDefault="00F946F5" w:rsidP="00F946F5">
      <w:pPr>
        <w:jc w:val="both"/>
        <w:rPr>
          <w:rFonts w:ascii="Arial" w:hAnsi="Arial" w:cs="Arial"/>
        </w:rPr>
      </w:pPr>
      <w:r w:rsidRPr="00F946F5">
        <w:rPr>
          <w:rFonts w:ascii="Arial" w:hAnsi="Arial" w:cs="Arial"/>
        </w:rPr>
        <w:t>Como esses casos dependem muito do contexto e das provas disponíveis, a orientação prática é simples, na dúvida, trate como zona de risco e consulte o departamento jurídico antes de agir, não depois.</w:t>
      </w:r>
    </w:p>
    <w:p w14:paraId="40E73868"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Quais são os riscos reais para a empresa?</w:t>
      </w:r>
    </w:p>
    <w:p w14:paraId="016BCE5E" w14:textId="77777777" w:rsidR="00F946F5" w:rsidRPr="00F946F5" w:rsidRDefault="00F946F5" w:rsidP="00F946F5">
      <w:pPr>
        <w:jc w:val="both"/>
        <w:rPr>
          <w:rFonts w:ascii="Arial" w:hAnsi="Arial" w:cs="Arial"/>
        </w:rPr>
      </w:pPr>
      <w:r w:rsidRPr="00F946F5">
        <w:rPr>
          <w:rFonts w:ascii="Arial" w:hAnsi="Arial" w:cs="Arial"/>
        </w:rPr>
        <w:t>Os riscos do assédio eleitoral são multifacetados, um único ato ilícito pode gerar responsabilização simultânea em frentes bem diferentes.</w:t>
      </w:r>
    </w:p>
    <w:p w14:paraId="1FD8A4CC" w14:textId="77777777" w:rsidR="00F946F5" w:rsidRPr="00F946F5" w:rsidRDefault="00F946F5" w:rsidP="00F946F5">
      <w:pPr>
        <w:jc w:val="both"/>
        <w:rPr>
          <w:rFonts w:ascii="Arial" w:hAnsi="Arial" w:cs="Arial"/>
        </w:rPr>
      </w:pPr>
      <w:r w:rsidRPr="00F946F5">
        <w:rPr>
          <w:rFonts w:ascii="Arial" w:hAnsi="Arial" w:cs="Arial"/>
        </w:rPr>
        <w:t>No âmbito trabalhista, ações individuais por dano moral, rescisão indireta do contrato de trabalho, reintegração com pagamento retroativo de salários em caso de dispensa discriminatória, e ações civis públicas do Ministério Público do Trabalho, que podem resultar em Termo de Ajuste de Conduta (TAC) com multa, ou condenação por dano moral coletivo.</w:t>
      </w:r>
    </w:p>
    <w:p w14:paraId="5536E5E0" w14:textId="77777777" w:rsidR="00F946F5" w:rsidRPr="00F946F5" w:rsidRDefault="00F946F5" w:rsidP="00F946F5">
      <w:pPr>
        <w:jc w:val="both"/>
        <w:rPr>
          <w:rFonts w:ascii="Arial" w:hAnsi="Arial" w:cs="Arial"/>
        </w:rPr>
      </w:pPr>
      <w:r w:rsidRPr="00F946F5">
        <w:rPr>
          <w:rFonts w:ascii="Arial" w:hAnsi="Arial" w:cs="Arial"/>
        </w:rPr>
        <w:t>No âmbito eleitoral, quando configurado o abuso de poder econômico, pode atingir até o candidato beneficiado pela conduta, com risco de multa e inelegibilidade.</w:t>
      </w:r>
    </w:p>
    <w:p w14:paraId="361D9775" w14:textId="77777777" w:rsidR="00F946F5" w:rsidRPr="00F946F5" w:rsidRDefault="00F946F5" w:rsidP="00F946F5">
      <w:pPr>
        <w:jc w:val="both"/>
        <w:rPr>
          <w:rFonts w:ascii="Arial" w:hAnsi="Arial" w:cs="Arial"/>
        </w:rPr>
      </w:pPr>
      <w:r w:rsidRPr="00F946F5">
        <w:rPr>
          <w:rFonts w:ascii="Arial" w:hAnsi="Arial" w:cs="Arial"/>
        </w:rPr>
        <w:t>Em outra possibilidade, também no âmbito eleitoral, se houver a tipificação de responsabilização por omissão, desde a Resolução TSE n° 23.755/2026, soma-se o risco de responder por “permitir a ocorrência” de propaganda ou assédio eleitoral, a empresa que sabe da prática e não age para contê-la também pode ser responsabilizada, mesmo sem ter sido a autora direta.</w:t>
      </w:r>
    </w:p>
    <w:p w14:paraId="284833D4" w14:textId="77777777" w:rsidR="00F946F5" w:rsidRPr="00F946F5" w:rsidRDefault="00F946F5" w:rsidP="00F946F5">
      <w:pPr>
        <w:jc w:val="both"/>
        <w:rPr>
          <w:rFonts w:ascii="Arial" w:hAnsi="Arial" w:cs="Arial"/>
        </w:rPr>
      </w:pPr>
      <w:r w:rsidRPr="00F946F5">
        <w:rPr>
          <w:rFonts w:ascii="Arial" w:hAnsi="Arial" w:cs="Arial"/>
        </w:rPr>
        <w:t>Quanto a matéria criminal, há possibilidade de enquadramento em tipos previstos no Código Eleitoral como, coação, corrupção, embaraço ao voto, com penas de detenção ou reclusão para quem pratica ou incita a conduta.</w:t>
      </w:r>
    </w:p>
    <w:p w14:paraId="74F91B10" w14:textId="77777777" w:rsidR="00F946F5" w:rsidRPr="00F946F5" w:rsidRDefault="00F946F5" w:rsidP="00F946F5">
      <w:pPr>
        <w:jc w:val="both"/>
        <w:rPr>
          <w:rFonts w:ascii="Arial" w:hAnsi="Arial" w:cs="Arial"/>
        </w:rPr>
      </w:pPr>
      <w:r w:rsidRPr="00F946F5">
        <w:rPr>
          <w:rFonts w:ascii="Arial" w:hAnsi="Arial" w:cs="Arial"/>
        </w:rPr>
        <w:t>No administrativo, para empresas que contratam com o Poder Público, risco de sindicâncias, multas e outras sanções mais gravosas.</w:t>
      </w:r>
    </w:p>
    <w:p w14:paraId="139026DB" w14:textId="77777777" w:rsidR="00F946F5" w:rsidRPr="00F946F5" w:rsidRDefault="00F946F5" w:rsidP="00F946F5">
      <w:pPr>
        <w:jc w:val="both"/>
        <w:rPr>
          <w:rFonts w:ascii="Arial" w:hAnsi="Arial" w:cs="Arial"/>
        </w:rPr>
      </w:pPr>
      <w:r w:rsidRPr="00F946F5">
        <w:rPr>
          <w:rFonts w:ascii="Arial" w:hAnsi="Arial" w:cs="Arial"/>
        </w:rPr>
        <w:t>Por último, e não menos importante, é o risco reputacional, infelizmente muito subestimado. Denúncias de assédio eleitoral viralizam extremamente rápido nas redes e na imprensa, expõe a marca, afetam processos seletivos futuros e a relação com investidores e clientes que olham critérios ESG.</w:t>
      </w:r>
    </w:p>
    <w:p w14:paraId="1C2F64B8" w14:textId="77777777" w:rsidR="00F946F5" w:rsidRPr="00F946F5" w:rsidRDefault="00F946F5" w:rsidP="00F946F5">
      <w:pPr>
        <w:jc w:val="both"/>
        <w:rPr>
          <w:rFonts w:ascii="Arial" w:hAnsi="Arial" w:cs="Arial"/>
        </w:rPr>
      </w:pPr>
      <w:r w:rsidRPr="00F946F5">
        <w:rPr>
          <w:rFonts w:ascii="Arial" w:hAnsi="Arial" w:cs="Arial"/>
        </w:rPr>
        <w:t xml:space="preserve">Os números confirmam que essa preocupação e cuidado que as empresas devem ter está longe de ser apenas de cunho teórico. Segundo o relatório “Assédio eleitoral – Eleições 2022”, o próprio MTP, recebeu 3.465 denúncias naquele ciclo, envolvendo 2.467 empresas ou empregadores notificados. A Região Sudeste concentrou o maior volume, com 1.272 denúncias, representando 36,7% do total, seguida da Região Sul com 988, Nordeste 565, </w:t>
      </w:r>
      <w:r w:rsidRPr="00F946F5">
        <w:rPr>
          <w:rFonts w:ascii="Arial" w:hAnsi="Arial" w:cs="Arial"/>
        </w:rPr>
        <w:lastRenderedPageBreak/>
        <w:t>Centro-Oeste 335, e Norte 305, dados que já vinham servindo de base para o endurecimento trazido pela Resolução TSE n° 23.755/2026.</w:t>
      </w:r>
    </w:p>
    <w:p w14:paraId="6137B36B"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Checklist de Compliance eleitoral: como a empresa se protege.</w:t>
      </w:r>
    </w:p>
    <w:p w14:paraId="30EB0223" w14:textId="77777777" w:rsidR="00F946F5" w:rsidRPr="00F946F5" w:rsidRDefault="00F946F5" w:rsidP="00F946F5">
      <w:pPr>
        <w:jc w:val="both"/>
        <w:rPr>
          <w:rFonts w:ascii="Arial" w:hAnsi="Arial" w:cs="Arial"/>
        </w:rPr>
      </w:pPr>
      <w:r w:rsidRPr="00F946F5">
        <w:rPr>
          <w:rFonts w:ascii="Arial" w:hAnsi="Arial" w:cs="Arial"/>
        </w:rPr>
        <w:t>Algumas medidas práticas ajudam a reduzir bastante a exposição da empresa:</w:t>
      </w:r>
    </w:p>
    <w:p w14:paraId="42BDD2A1" w14:textId="77777777" w:rsidR="00F946F5" w:rsidRPr="00F946F5" w:rsidRDefault="00F946F5" w:rsidP="00F946F5">
      <w:pPr>
        <w:jc w:val="both"/>
        <w:rPr>
          <w:rFonts w:ascii="Arial" w:hAnsi="Arial" w:cs="Arial"/>
        </w:rPr>
      </w:pPr>
      <w:r w:rsidRPr="00F946F5">
        <w:rPr>
          <w:rFonts w:ascii="Arial" w:hAnsi="Arial" w:cs="Arial"/>
        </w:rPr>
        <w:t>Política interna formal sobre a neutralidade política, comunicada a todos os níveis hierárquicos, inclusive lideranças intermediárias.</w:t>
      </w:r>
    </w:p>
    <w:p w14:paraId="07464322" w14:textId="77777777" w:rsidR="00F946F5" w:rsidRPr="00F946F5" w:rsidRDefault="00F946F5" w:rsidP="00F946F5">
      <w:pPr>
        <w:jc w:val="both"/>
        <w:rPr>
          <w:rFonts w:ascii="Arial" w:hAnsi="Arial" w:cs="Arial"/>
        </w:rPr>
      </w:pPr>
      <w:r w:rsidRPr="00F946F5">
        <w:rPr>
          <w:rFonts w:ascii="Arial" w:hAnsi="Arial" w:cs="Arial"/>
        </w:rPr>
        <w:t>Treinamento de gestores e RH sobre a diferença entre diálogo legítimo e conduta assediadora, com exemplos práticos do próprio setor.</w:t>
      </w:r>
    </w:p>
    <w:p w14:paraId="2D8A1E42" w14:textId="77777777" w:rsidR="00F946F5" w:rsidRPr="00F946F5" w:rsidRDefault="00F946F5" w:rsidP="00F946F5">
      <w:pPr>
        <w:jc w:val="both"/>
        <w:rPr>
          <w:rFonts w:ascii="Arial" w:hAnsi="Arial" w:cs="Arial"/>
        </w:rPr>
      </w:pPr>
      <w:r w:rsidRPr="00F946F5">
        <w:rPr>
          <w:rFonts w:ascii="Arial" w:hAnsi="Arial" w:cs="Arial"/>
        </w:rPr>
        <w:t>Canal de denúncia interno confidencial, com fluxo de apuração isento e articulado com o jurídico.</w:t>
      </w:r>
    </w:p>
    <w:p w14:paraId="26B79894" w14:textId="77777777" w:rsidR="00F946F5" w:rsidRPr="00F946F5" w:rsidRDefault="00F946F5" w:rsidP="00F946F5">
      <w:pPr>
        <w:jc w:val="both"/>
        <w:rPr>
          <w:rFonts w:ascii="Arial" w:hAnsi="Arial" w:cs="Arial"/>
        </w:rPr>
      </w:pPr>
      <w:r w:rsidRPr="00F946F5">
        <w:rPr>
          <w:rFonts w:ascii="Arial" w:hAnsi="Arial" w:cs="Arial"/>
        </w:rPr>
        <w:t>Assessoria jurídica preventiva durante o período eleitoral, com atualização constante frente às resoluções do TSE, que mudam a cada pleito.</w:t>
      </w:r>
    </w:p>
    <w:p w14:paraId="6C652DFE" w14:textId="77777777" w:rsidR="00F946F5" w:rsidRPr="00F946F5" w:rsidRDefault="00F946F5" w:rsidP="00F946F5">
      <w:pPr>
        <w:jc w:val="both"/>
        <w:rPr>
          <w:rFonts w:ascii="Arial" w:hAnsi="Arial" w:cs="Arial"/>
        </w:rPr>
      </w:pPr>
      <w:r w:rsidRPr="00F946F5">
        <w:rPr>
          <w:rFonts w:ascii="Arial" w:hAnsi="Arial" w:cs="Arial"/>
        </w:rPr>
        <w:t>Revisão dos grupos de whatsapp corporativos, verificando regras de uso e conteúdo permitido.</w:t>
      </w:r>
    </w:p>
    <w:p w14:paraId="00A26D60" w14:textId="77777777" w:rsidR="00F946F5" w:rsidRPr="00F946F5" w:rsidRDefault="00F946F5" w:rsidP="00F946F5">
      <w:pPr>
        <w:jc w:val="both"/>
        <w:rPr>
          <w:rFonts w:ascii="Arial" w:hAnsi="Arial" w:cs="Arial"/>
        </w:rPr>
      </w:pPr>
      <w:r w:rsidRPr="00F946F5">
        <w:rPr>
          <w:rFonts w:ascii="Arial" w:hAnsi="Arial" w:cs="Arial"/>
        </w:rPr>
        <w:t>Orientação específica para gestores durante o período eleitoral, reforçando limites e condutas esperadas.</w:t>
      </w:r>
    </w:p>
    <w:p w14:paraId="724AB857" w14:textId="77777777" w:rsidR="00F946F5" w:rsidRPr="00F946F5" w:rsidRDefault="00F946F5" w:rsidP="00F946F5">
      <w:pPr>
        <w:jc w:val="both"/>
        <w:rPr>
          <w:rFonts w:ascii="Arial" w:hAnsi="Arial" w:cs="Arial"/>
        </w:rPr>
      </w:pPr>
      <w:r w:rsidRPr="00F946F5">
        <w:rPr>
          <w:rFonts w:ascii="Arial" w:hAnsi="Arial" w:cs="Arial"/>
        </w:rPr>
        <w:t>Procedimento estruturado para recebimento e apuração de denúncias de assédio eleitoral.</w:t>
      </w:r>
    </w:p>
    <w:p w14:paraId="378ED1DA" w14:textId="77777777" w:rsidR="00F946F5" w:rsidRPr="00F946F5" w:rsidRDefault="00F946F5" w:rsidP="00F946F5">
      <w:pPr>
        <w:jc w:val="both"/>
        <w:rPr>
          <w:rFonts w:ascii="Arial" w:hAnsi="Arial" w:cs="Arial"/>
        </w:rPr>
      </w:pPr>
      <w:r w:rsidRPr="00F946F5">
        <w:rPr>
          <w:rFonts w:ascii="Arial" w:hAnsi="Arial" w:cs="Arial"/>
        </w:rPr>
        <w:t>Auditoria periódica da comunicação institucional, para garantir que pautas de interesse público não se confundam com propaganda eleitoral.</w:t>
      </w:r>
    </w:p>
    <w:p w14:paraId="7D155AF4" w14:textId="77777777" w:rsidR="00F946F5" w:rsidRPr="00F946F5" w:rsidRDefault="00F946F5" w:rsidP="00F946F5">
      <w:pPr>
        <w:jc w:val="both"/>
        <w:rPr>
          <w:rFonts w:ascii="Arial" w:hAnsi="Arial" w:cs="Arial"/>
        </w:rPr>
      </w:pPr>
      <w:r w:rsidRPr="00F946F5">
        <w:rPr>
          <w:rFonts w:ascii="Arial" w:hAnsi="Arial" w:cs="Arial"/>
        </w:rPr>
        <w:t>Esses pontos são uma demonstração muito simplória do trabalho a ser realizado. Sua empresa já tem uma política de neutralidade formalizada para este ciclo eleitoral? Não? Mande um whatsapp agora mesmo para o nosso escritório e receba um checklist mais completo que contribuirá significativamente com sua empresa, se necessário agende uma avaliação.</w:t>
      </w:r>
    </w:p>
    <w:p w14:paraId="374F3CC6"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Perguntas frequentes sobre assédio eleitoral no trabalho.</w:t>
      </w:r>
    </w:p>
    <w:p w14:paraId="75DB54C3" w14:textId="77777777" w:rsidR="00F946F5" w:rsidRPr="00F946F5" w:rsidRDefault="00F946F5" w:rsidP="00F946F5">
      <w:pPr>
        <w:jc w:val="both"/>
        <w:rPr>
          <w:rFonts w:ascii="Arial" w:hAnsi="Arial" w:cs="Arial"/>
          <w:b/>
          <w:bCs/>
        </w:rPr>
      </w:pPr>
      <w:r w:rsidRPr="00F946F5">
        <w:rPr>
          <w:rFonts w:ascii="Arial" w:hAnsi="Arial" w:cs="Arial"/>
          <w:b/>
          <w:bCs/>
        </w:rPr>
        <w:t xml:space="preserve">Assédio eleitoral é crime? </w:t>
      </w:r>
    </w:p>
    <w:p w14:paraId="7A4FBF10" w14:textId="77777777" w:rsidR="00F946F5" w:rsidRPr="00F946F5" w:rsidRDefault="00F946F5" w:rsidP="00F946F5">
      <w:pPr>
        <w:jc w:val="both"/>
        <w:rPr>
          <w:rFonts w:ascii="Arial" w:hAnsi="Arial" w:cs="Arial"/>
        </w:rPr>
      </w:pPr>
      <w:r w:rsidRPr="00F946F5">
        <w:rPr>
          <w:rFonts w:ascii="Arial" w:hAnsi="Arial" w:cs="Arial"/>
        </w:rPr>
        <w:t>Sim. Pode se enquadrar em tipos do Código Eleitoral, como coação eleitoral, e embaraço ao exercício do voto, com penas de detenção ou reclusão, além de gerar responsabilização trabalhista, eleitoral, administrativa e reputacional ao mesmo tempo.</w:t>
      </w:r>
    </w:p>
    <w:p w14:paraId="6061BD53" w14:textId="77777777" w:rsidR="00F946F5" w:rsidRPr="00F946F5" w:rsidRDefault="00F946F5" w:rsidP="00F946F5">
      <w:pPr>
        <w:jc w:val="both"/>
        <w:rPr>
          <w:rFonts w:ascii="Arial" w:hAnsi="Arial" w:cs="Arial"/>
          <w:b/>
          <w:bCs/>
        </w:rPr>
      </w:pPr>
      <w:r w:rsidRPr="00F946F5">
        <w:rPr>
          <w:rFonts w:ascii="Arial" w:hAnsi="Arial" w:cs="Arial"/>
          <w:b/>
          <w:bCs/>
        </w:rPr>
        <w:t xml:space="preserve">A empresa pode fazer reunião para falar sobre política com os empregados? </w:t>
      </w:r>
    </w:p>
    <w:p w14:paraId="20A90461" w14:textId="77777777" w:rsidR="00F946F5" w:rsidRPr="00F946F5" w:rsidRDefault="00F946F5" w:rsidP="00F946F5">
      <w:pPr>
        <w:jc w:val="both"/>
        <w:rPr>
          <w:rFonts w:ascii="Arial" w:hAnsi="Arial" w:cs="Arial"/>
        </w:rPr>
      </w:pPr>
      <w:r w:rsidRPr="00F946F5">
        <w:rPr>
          <w:rFonts w:ascii="Arial" w:hAnsi="Arial" w:cs="Arial"/>
        </w:rPr>
        <w:lastRenderedPageBreak/>
        <w:t>Reuniões para tratar de orientação política ou pressionar o voto configuram assédio eleitoral. Já orientações neutras, como informar sobre o direito de se ausentar para votar ou esclarecer prazos eleitorais são permitidas.</w:t>
      </w:r>
    </w:p>
    <w:p w14:paraId="0F19ADF2" w14:textId="77777777" w:rsidR="00F946F5" w:rsidRPr="00F946F5" w:rsidRDefault="00F946F5" w:rsidP="00F946F5">
      <w:pPr>
        <w:jc w:val="both"/>
        <w:rPr>
          <w:rFonts w:ascii="Arial" w:hAnsi="Arial" w:cs="Arial"/>
          <w:b/>
          <w:bCs/>
        </w:rPr>
      </w:pPr>
      <w:r w:rsidRPr="00F946F5">
        <w:rPr>
          <w:rFonts w:ascii="Arial" w:hAnsi="Arial" w:cs="Arial"/>
          <w:b/>
          <w:bCs/>
        </w:rPr>
        <w:t>Um único ato já configura assédio eleitoral, ou é preciso reincidência?</w:t>
      </w:r>
    </w:p>
    <w:p w14:paraId="6732D2EF" w14:textId="77777777" w:rsidR="00F946F5" w:rsidRPr="00F946F5" w:rsidRDefault="00F946F5" w:rsidP="00F946F5">
      <w:pPr>
        <w:jc w:val="both"/>
        <w:rPr>
          <w:rFonts w:ascii="Arial" w:hAnsi="Arial" w:cs="Arial"/>
        </w:rPr>
      </w:pPr>
      <w:r w:rsidRPr="00F946F5">
        <w:rPr>
          <w:rFonts w:ascii="Arial" w:hAnsi="Arial" w:cs="Arial"/>
        </w:rPr>
        <w:t xml:space="preserve"> Um único ato já basta. Não há exigência de reiteração da conduta.</w:t>
      </w:r>
    </w:p>
    <w:p w14:paraId="23D3199B" w14:textId="77777777" w:rsidR="00F946F5" w:rsidRPr="00F946F5" w:rsidRDefault="00F946F5" w:rsidP="00F946F5">
      <w:pPr>
        <w:jc w:val="both"/>
        <w:rPr>
          <w:rFonts w:ascii="Arial" w:hAnsi="Arial" w:cs="Arial"/>
          <w:b/>
          <w:bCs/>
        </w:rPr>
      </w:pPr>
      <w:r w:rsidRPr="00F946F5">
        <w:rPr>
          <w:rFonts w:ascii="Arial" w:hAnsi="Arial" w:cs="Arial"/>
          <w:b/>
          <w:bCs/>
        </w:rPr>
        <w:t>A empresa pode ser responsabilizada mesmo sem ter dado a ordem diretamente?</w:t>
      </w:r>
    </w:p>
    <w:p w14:paraId="748A0FAB" w14:textId="77777777" w:rsidR="00F946F5" w:rsidRPr="00F946F5" w:rsidRDefault="00F946F5" w:rsidP="00F946F5">
      <w:pPr>
        <w:jc w:val="both"/>
        <w:rPr>
          <w:rFonts w:ascii="Arial" w:hAnsi="Arial" w:cs="Arial"/>
        </w:rPr>
      </w:pPr>
      <w:r w:rsidRPr="00F946F5">
        <w:rPr>
          <w:rFonts w:ascii="Arial" w:hAnsi="Arial" w:cs="Arial"/>
        </w:rPr>
        <w:t>Sim. Desde a Resolução TSE n° 23.755/2026, responde também quem “permitir a ocorrência” da propaganda ou do assédio eleitoral, a omissão da liderança diante de uma prática já conhecida pode gerar responsabilização.</w:t>
      </w:r>
    </w:p>
    <w:p w14:paraId="6F881472" w14:textId="77777777" w:rsidR="00F946F5" w:rsidRPr="00F946F5" w:rsidRDefault="00F946F5" w:rsidP="00F946F5">
      <w:pPr>
        <w:jc w:val="both"/>
        <w:rPr>
          <w:rFonts w:ascii="Arial" w:hAnsi="Arial" w:cs="Arial"/>
          <w:b/>
          <w:bCs/>
        </w:rPr>
      </w:pPr>
      <w:r w:rsidRPr="00F946F5">
        <w:rPr>
          <w:rFonts w:ascii="Arial" w:hAnsi="Arial" w:cs="Arial"/>
          <w:b/>
          <w:bCs/>
        </w:rPr>
        <w:t>Colocar cartaz d campanha no mural da empresa já é ilegal, mesmo sem coação a ninguém?</w:t>
      </w:r>
    </w:p>
    <w:p w14:paraId="52854709" w14:textId="77777777" w:rsidR="00F946F5" w:rsidRPr="00F946F5" w:rsidRDefault="00F946F5" w:rsidP="00F946F5">
      <w:pPr>
        <w:jc w:val="both"/>
        <w:rPr>
          <w:rFonts w:ascii="Arial" w:hAnsi="Arial" w:cs="Arial"/>
        </w:rPr>
      </w:pPr>
      <w:r w:rsidRPr="00F946F5">
        <w:rPr>
          <w:rFonts w:ascii="Arial" w:hAnsi="Arial" w:cs="Arial"/>
        </w:rPr>
        <w:t>Sim. Desde a Resolução TSE n° 23.755/2026, a propaganda eleitoral no ambiente de trabalho é irregular por si só, independentemente de haver constrangimento comprovado a algum trabalhador.</w:t>
      </w:r>
    </w:p>
    <w:p w14:paraId="5E02F437" w14:textId="77777777" w:rsidR="00F946F5" w:rsidRPr="00F946F5" w:rsidRDefault="00F946F5" w:rsidP="00F946F5">
      <w:pPr>
        <w:jc w:val="both"/>
        <w:rPr>
          <w:rFonts w:ascii="Arial" w:hAnsi="Arial" w:cs="Arial"/>
          <w:b/>
          <w:bCs/>
        </w:rPr>
      </w:pPr>
      <w:r w:rsidRPr="00F946F5">
        <w:rPr>
          <w:rFonts w:ascii="Arial" w:hAnsi="Arial" w:cs="Arial"/>
          <w:b/>
          <w:bCs/>
        </w:rPr>
        <w:t>O empregado pode fazer propaganda política dentro da empresa?</w:t>
      </w:r>
    </w:p>
    <w:p w14:paraId="325FDAEA" w14:textId="77777777" w:rsidR="00F946F5" w:rsidRPr="00F946F5" w:rsidRDefault="00F946F5" w:rsidP="00F946F5">
      <w:pPr>
        <w:jc w:val="both"/>
        <w:rPr>
          <w:rFonts w:ascii="Arial" w:hAnsi="Arial" w:cs="Arial"/>
        </w:rPr>
      </w:pPr>
      <w:r w:rsidRPr="00F946F5">
        <w:rPr>
          <w:rFonts w:ascii="Arial" w:hAnsi="Arial" w:cs="Arial"/>
        </w:rPr>
        <w:t>Não. A propaganda eleitoral em ambiente de trabalho é vedada pela Resolução TSE n° 23.766/2026, independentemente de quem a promova, empregador, empregado ou mesmo terceiro. Cabe à empresa coibir a prática, sob pena de responder por emitir sua ocorrência.</w:t>
      </w:r>
    </w:p>
    <w:p w14:paraId="225E234B" w14:textId="77777777" w:rsidR="00F946F5" w:rsidRPr="00F946F5" w:rsidRDefault="00F946F5" w:rsidP="00F946F5">
      <w:pPr>
        <w:jc w:val="both"/>
        <w:rPr>
          <w:rFonts w:ascii="Arial" w:hAnsi="Arial" w:cs="Arial"/>
          <w:b/>
          <w:bCs/>
        </w:rPr>
      </w:pPr>
      <w:r w:rsidRPr="00F946F5">
        <w:rPr>
          <w:rFonts w:ascii="Arial" w:hAnsi="Arial" w:cs="Arial"/>
          <w:b/>
          <w:bCs/>
        </w:rPr>
        <w:t>A empresa pode proibir manifestações políticas durante o expediente?</w:t>
      </w:r>
    </w:p>
    <w:p w14:paraId="107CB763" w14:textId="77777777" w:rsidR="00F946F5" w:rsidRPr="00F946F5" w:rsidRDefault="00F946F5" w:rsidP="00F946F5">
      <w:pPr>
        <w:jc w:val="both"/>
        <w:rPr>
          <w:rFonts w:ascii="Arial" w:hAnsi="Arial" w:cs="Arial"/>
        </w:rPr>
      </w:pPr>
      <w:r w:rsidRPr="00F946F5">
        <w:rPr>
          <w:rFonts w:ascii="Arial" w:hAnsi="Arial" w:cs="Arial"/>
        </w:rPr>
        <w:t>Sim, dentro de certos limites. A empresa pode e deve vedar propaganda eleitoral, pressão sobre o voto e qualquer uso da estrutura corporativa para fins político-partidários. O que não pode é impedir que o empregado tenha ou expresse, de forma espontânea e sem constranger colegas, sua própria opinião política, a liberdade política do empregado é um direito, distinto da propaganda eleitoral organizada no ambiente de trabalho.</w:t>
      </w:r>
    </w:p>
    <w:p w14:paraId="1B93FADA" w14:textId="77777777" w:rsidR="00F946F5" w:rsidRPr="00F946F5" w:rsidRDefault="00F946F5" w:rsidP="00F946F5">
      <w:pPr>
        <w:numPr>
          <w:ilvl w:val="0"/>
          <w:numId w:val="1"/>
        </w:numPr>
        <w:jc w:val="both"/>
        <w:rPr>
          <w:rFonts w:ascii="Arial" w:hAnsi="Arial" w:cs="Arial"/>
          <w:b/>
          <w:bCs/>
        </w:rPr>
      </w:pPr>
      <w:r w:rsidRPr="00F946F5">
        <w:rPr>
          <w:rFonts w:ascii="Arial" w:hAnsi="Arial" w:cs="Arial"/>
          <w:b/>
          <w:bCs/>
        </w:rPr>
        <w:t>Para concluir</w:t>
      </w:r>
    </w:p>
    <w:p w14:paraId="170B4547" w14:textId="77777777" w:rsidR="00F946F5" w:rsidRPr="00F946F5" w:rsidRDefault="00F946F5" w:rsidP="00F946F5">
      <w:pPr>
        <w:jc w:val="both"/>
        <w:rPr>
          <w:rFonts w:ascii="Arial" w:hAnsi="Arial" w:cs="Arial"/>
        </w:rPr>
      </w:pPr>
      <w:r w:rsidRPr="00F946F5">
        <w:rPr>
          <w:rFonts w:ascii="Arial" w:hAnsi="Arial" w:cs="Arial"/>
        </w:rPr>
        <w:t>O assédio eleitoral no ambiente de trabalho não é um risco abstrato nem um assunto passageiro, é uma frente de fiscalização consolidada, com atuação articulada entre Ministério Público do Trabalho, Justiça do Trabalho, Justiça Eleitoral e Ministério Público Eleitoral. Empresas sem uma política clara de neutralidade política empresarial se expõem a passivos trabalhistas, eleitorais, penais e, não menos importante, reputacionais justamente num momento de alta visibilidade pública.</w:t>
      </w:r>
    </w:p>
    <w:p w14:paraId="266D8498" w14:textId="77777777" w:rsidR="00F946F5" w:rsidRPr="00F946F5" w:rsidRDefault="00F946F5" w:rsidP="00F946F5">
      <w:pPr>
        <w:jc w:val="both"/>
        <w:rPr>
          <w:rFonts w:ascii="Arial" w:hAnsi="Arial" w:cs="Arial"/>
        </w:rPr>
      </w:pPr>
      <w:r w:rsidRPr="00F946F5">
        <w:rPr>
          <w:rFonts w:ascii="Arial" w:hAnsi="Arial" w:cs="Arial"/>
        </w:rPr>
        <w:lastRenderedPageBreak/>
        <w:t>Investir em compliance eleitoral, com políticas internas bem definidas e lideranças capacitadas, já é parte da gestão de risco de qualquer organização, na iniciativa privada ou na administração pública.</w:t>
      </w:r>
    </w:p>
    <w:p w14:paraId="52847FDA" w14:textId="77777777" w:rsidR="00F946F5" w:rsidRPr="00F946F5" w:rsidRDefault="00F946F5" w:rsidP="00F946F5">
      <w:pPr>
        <w:jc w:val="both"/>
        <w:rPr>
          <w:rFonts w:ascii="Arial" w:hAnsi="Arial" w:cs="Arial"/>
        </w:rPr>
      </w:pPr>
      <w:r w:rsidRPr="00F946F5">
        <w:rPr>
          <w:rFonts w:ascii="Arial" w:hAnsi="Arial" w:cs="Arial"/>
        </w:rPr>
        <w:t>Em matéria de assédio eleitoral, o maior risco para a empresa não é apenas praticar uma conduta ilícita, mas deixar de preveni-la. A adoção de políticas claras, treinamentos e mecanismos efetivos de controle tornou-se parte essencial da boa governança corporativa e da gestão de riscos trabalhistas e eleitorais.</w:t>
      </w:r>
    </w:p>
    <w:p w14:paraId="4029B6B8" w14:textId="77777777" w:rsidR="00F946F5" w:rsidRPr="00F946F5" w:rsidRDefault="00F946F5" w:rsidP="00F946F5">
      <w:pPr>
        <w:jc w:val="both"/>
        <w:rPr>
          <w:rFonts w:ascii="Arial" w:hAnsi="Arial" w:cs="Arial"/>
        </w:rPr>
      </w:pPr>
      <w:r w:rsidRPr="00F946F5">
        <w:rPr>
          <w:rFonts w:ascii="Arial" w:hAnsi="Arial" w:cs="Arial"/>
        </w:rPr>
        <w:t>Nossa equipe pode ajudar a estruturar um programa de compliance eleitoral sob medida, revisar políticas internas e treinar lideranças, antecipando riscos antes que virem passivos. Consulte um advogado, entre em contato para agendar uma consultoria.</w:t>
      </w:r>
    </w:p>
    <w:p w14:paraId="1B539999" w14:textId="77777777" w:rsidR="00F946F5" w:rsidRPr="00F946F5" w:rsidRDefault="00F946F5" w:rsidP="00F946F5">
      <w:pPr>
        <w:jc w:val="both"/>
        <w:rPr>
          <w:rFonts w:ascii="Arial" w:hAnsi="Arial" w:cs="Arial"/>
        </w:rPr>
      </w:pPr>
    </w:p>
    <w:p w14:paraId="71383382" w14:textId="77777777" w:rsidR="00F946F5" w:rsidRPr="00F946F5" w:rsidRDefault="00F946F5" w:rsidP="00F946F5">
      <w:pPr>
        <w:jc w:val="both"/>
        <w:rPr>
          <w:rFonts w:ascii="Arial" w:hAnsi="Arial" w:cs="Arial"/>
          <w:b/>
          <w:bCs/>
        </w:rPr>
      </w:pPr>
      <w:r w:rsidRPr="00F946F5">
        <w:rPr>
          <w:rFonts w:ascii="Arial" w:hAnsi="Arial" w:cs="Arial"/>
          <w:b/>
          <w:bCs/>
        </w:rPr>
        <w:t>________________________</w:t>
      </w:r>
    </w:p>
    <w:p w14:paraId="141CF385" w14:textId="77777777" w:rsidR="00F946F5" w:rsidRPr="00F946F5" w:rsidRDefault="00F946F5" w:rsidP="00F946F5">
      <w:pPr>
        <w:jc w:val="both"/>
        <w:rPr>
          <w:rFonts w:ascii="Arial" w:hAnsi="Arial" w:cs="Arial"/>
          <w:b/>
          <w:bCs/>
        </w:rPr>
      </w:pPr>
      <w:r w:rsidRPr="00F946F5">
        <w:rPr>
          <w:rFonts w:ascii="Arial" w:hAnsi="Arial" w:cs="Arial"/>
          <w:b/>
          <w:bCs/>
        </w:rPr>
        <w:t>Evandro Torres Lima</w:t>
      </w:r>
    </w:p>
    <w:p w14:paraId="35B7015F" w14:textId="77777777" w:rsidR="00F946F5" w:rsidRPr="00F946F5" w:rsidRDefault="00F946F5" w:rsidP="00F946F5">
      <w:pPr>
        <w:jc w:val="both"/>
        <w:rPr>
          <w:rFonts w:ascii="Arial" w:hAnsi="Arial" w:cs="Arial"/>
          <w:b/>
          <w:bCs/>
        </w:rPr>
      </w:pPr>
      <w:r w:rsidRPr="00F946F5">
        <w:rPr>
          <w:rFonts w:ascii="Arial" w:hAnsi="Arial" w:cs="Arial"/>
          <w:b/>
          <w:bCs/>
        </w:rPr>
        <w:t>OAB/SP – 542.858</w:t>
      </w:r>
    </w:p>
    <w:p w14:paraId="48BC5B00" w14:textId="77777777" w:rsidR="00F946F5" w:rsidRPr="00F946F5" w:rsidRDefault="00F946F5" w:rsidP="00F946F5">
      <w:pPr>
        <w:jc w:val="both"/>
        <w:rPr>
          <w:rFonts w:ascii="Arial" w:hAnsi="Arial" w:cs="Arial"/>
        </w:rPr>
      </w:pPr>
    </w:p>
    <w:p w14:paraId="7CFBDF65" w14:textId="77777777" w:rsidR="00F946F5" w:rsidRPr="00F946F5" w:rsidRDefault="00F946F5" w:rsidP="00F946F5">
      <w:pPr>
        <w:jc w:val="both"/>
        <w:rPr>
          <w:rFonts w:ascii="Arial" w:hAnsi="Arial" w:cs="Arial"/>
        </w:rPr>
      </w:pPr>
    </w:p>
    <w:p w14:paraId="65B62212" w14:textId="77777777" w:rsidR="00F946F5" w:rsidRPr="00F946F5" w:rsidRDefault="00F946F5" w:rsidP="00F946F5">
      <w:pPr>
        <w:numPr>
          <w:ilvl w:val="0"/>
          <w:numId w:val="3"/>
        </w:numPr>
        <w:jc w:val="both"/>
        <w:rPr>
          <w:rFonts w:ascii="Arial" w:hAnsi="Arial" w:cs="Arial"/>
          <w:b/>
          <w:bCs/>
        </w:rPr>
      </w:pPr>
      <w:r w:rsidRPr="00F946F5">
        <w:rPr>
          <w:rFonts w:ascii="Arial" w:hAnsi="Arial" w:cs="Arial"/>
          <w:b/>
          <w:bCs/>
        </w:rPr>
        <w:t>Referência:</w:t>
      </w:r>
    </w:p>
    <w:p w14:paraId="1745FA76" w14:textId="77777777" w:rsidR="00F946F5" w:rsidRPr="00F946F5" w:rsidRDefault="00F946F5" w:rsidP="00F946F5">
      <w:pPr>
        <w:numPr>
          <w:ilvl w:val="0"/>
          <w:numId w:val="4"/>
        </w:numPr>
        <w:jc w:val="both"/>
        <w:rPr>
          <w:rFonts w:ascii="Arial" w:hAnsi="Arial" w:cs="Arial"/>
        </w:rPr>
      </w:pPr>
      <w:r w:rsidRPr="00F946F5">
        <w:rPr>
          <w:rFonts w:ascii="Arial" w:hAnsi="Arial" w:cs="Arial"/>
        </w:rPr>
        <w:t xml:space="preserve">Constituição Federal, </w:t>
      </w:r>
      <w:proofErr w:type="spellStart"/>
      <w:r w:rsidRPr="00F946F5">
        <w:rPr>
          <w:rFonts w:ascii="Arial" w:hAnsi="Arial" w:cs="Arial"/>
        </w:rPr>
        <w:t>arts</w:t>
      </w:r>
      <w:proofErr w:type="spellEnd"/>
      <w:r w:rsidRPr="00F946F5">
        <w:rPr>
          <w:rFonts w:ascii="Arial" w:hAnsi="Arial" w:cs="Arial"/>
        </w:rPr>
        <w:t>. 1º, 5º e 14</w:t>
      </w:r>
    </w:p>
    <w:p w14:paraId="72A6463F" w14:textId="77777777" w:rsidR="00F946F5" w:rsidRPr="00F946F5" w:rsidRDefault="00F946F5" w:rsidP="00F946F5">
      <w:pPr>
        <w:numPr>
          <w:ilvl w:val="0"/>
          <w:numId w:val="4"/>
        </w:numPr>
        <w:jc w:val="both"/>
        <w:rPr>
          <w:rFonts w:ascii="Arial" w:hAnsi="Arial" w:cs="Arial"/>
        </w:rPr>
      </w:pPr>
      <w:r w:rsidRPr="00F946F5">
        <w:rPr>
          <w:rFonts w:ascii="Arial" w:hAnsi="Arial" w:cs="Arial"/>
        </w:rPr>
        <w:t xml:space="preserve">Código Eleitoral (Lei nº 4.737/1965), </w:t>
      </w:r>
      <w:proofErr w:type="spellStart"/>
      <w:r w:rsidRPr="00F946F5">
        <w:rPr>
          <w:rFonts w:ascii="Arial" w:hAnsi="Arial" w:cs="Arial"/>
        </w:rPr>
        <w:t>arts</w:t>
      </w:r>
      <w:proofErr w:type="spellEnd"/>
      <w:r w:rsidRPr="00F946F5">
        <w:rPr>
          <w:rFonts w:ascii="Arial" w:hAnsi="Arial" w:cs="Arial"/>
        </w:rPr>
        <w:t>. 234, 297, 299, 300 e 301</w:t>
      </w:r>
    </w:p>
    <w:p w14:paraId="6FE1E6BB" w14:textId="77777777" w:rsidR="00F946F5" w:rsidRPr="00F946F5" w:rsidRDefault="00F946F5" w:rsidP="00F946F5">
      <w:pPr>
        <w:numPr>
          <w:ilvl w:val="0"/>
          <w:numId w:val="4"/>
        </w:numPr>
        <w:jc w:val="both"/>
        <w:rPr>
          <w:rFonts w:ascii="Arial" w:hAnsi="Arial" w:cs="Arial"/>
        </w:rPr>
      </w:pPr>
      <w:r w:rsidRPr="00F946F5">
        <w:rPr>
          <w:rFonts w:ascii="Arial" w:hAnsi="Arial" w:cs="Arial"/>
        </w:rPr>
        <w:t>Lei das Eleições (Lei nº 9.504/1997), art. 37</w:t>
      </w:r>
    </w:p>
    <w:p w14:paraId="485D79E9" w14:textId="77777777" w:rsidR="00F946F5" w:rsidRPr="00F946F5" w:rsidRDefault="00F946F5" w:rsidP="00F946F5">
      <w:pPr>
        <w:numPr>
          <w:ilvl w:val="0"/>
          <w:numId w:val="4"/>
        </w:numPr>
        <w:jc w:val="both"/>
        <w:rPr>
          <w:rFonts w:ascii="Arial" w:hAnsi="Arial" w:cs="Arial"/>
        </w:rPr>
      </w:pPr>
      <w:r w:rsidRPr="00F946F5">
        <w:rPr>
          <w:rFonts w:ascii="Arial" w:hAnsi="Arial" w:cs="Arial"/>
        </w:rPr>
        <w:t>CLT, art. 510-B, V</w:t>
      </w:r>
    </w:p>
    <w:p w14:paraId="451AC1BA" w14:textId="77777777" w:rsidR="00F946F5" w:rsidRPr="00F946F5" w:rsidRDefault="00F946F5" w:rsidP="00F946F5">
      <w:pPr>
        <w:numPr>
          <w:ilvl w:val="0"/>
          <w:numId w:val="4"/>
        </w:numPr>
        <w:jc w:val="both"/>
        <w:rPr>
          <w:rFonts w:ascii="Arial" w:hAnsi="Arial" w:cs="Arial"/>
        </w:rPr>
      </w:pPr>
      <w:r w:rsidRPr="00F946F5">
        <w:rPr>
          <w:rFonts w:ascii="Arial" w:hAnsi="Arial" w:cs="Arial"/>
        </w:rPr>
        <w:t>Lei nº 9.029/1995</w:t>
      </w:r>
    </w:p>
    <w:p w14:paraId="2E86CD7F" w14:textId="77777777" w:rsidR="00F946F5" w:rsidRPr="00F946F5" w:rsidRDefault="00F946F5" w:rsidP="00F946F5">
      <w:pPr>
        <w:numPr>
          <w:ilvl w:val="0"/>
          <w:numId w:val="4"/>
        </w:numPr>
        <w:jc w:val="both"/>
        <w:rPr>
          <w:rFonts w:ascii="Arial" w:hAnsi="Arial" w:cs="Arial"/>
        </w:rPr>
      </w:pPr>
      <w:r w:rsidRPr="00F946F5">
        <w:rPr>
          <w:rFonts w:ascii="Arial" w:hAnsi="Arial" w:cs="Arial"/>
        </w:rPr>
        <w:t>Convenção nº 190 da OIT (art. 8º da CLT)</w:t>
      </w:r>
    </w:p>
    <w:p w14:paraId="04863B36" w14:textId="77777777" w:rsidR="00F946F5" w:rsidRPr="00F946F5" w:rsidRDefault="00F946F5" w:rsidP="00F946F5">
      <w:pPr>
        <w:numPr>
          <w:ilvl w:val="0"/>
          <w:numId w:val="4"/>
        </w:numPr>
        <w:jc w:val="both"/>
        <w:rPr>
          <w:rFonts w:ascii="Arial" w:hAnsi="Arial" w:cs="Arial"/>
        </w:rPr>
      </w:pPr>
      <w:r w:rsidRPr="00F946F5">
        <w:rPr>
          <w:rFonts w:ascii="Arial" w:hAnsi="Arial" w:cs="Arial"/>
        </w:rPr>
        <w:t>Resolução TSE nº 23.610/2019, art. 19, § 2º-A (incluído pela Resolução TSE nº 23.755/2026)</w:t>
      </w:r>
    </w:p>
    <w:p w14:paraId="2C9A3154" w14:textId="77777777" w:rsidR="00F946F5" w:rsidRPr="00F946F5" w:rsidRDefault="00F946F5" w:rsidP="00F946F5">
      <w:pPr>
        <w:numPr>
          <w:ilvl w:val="0"/>
          <w:numId w:val="4"/>
        </w:numPr>
        <w:jc w:val="both"/>
        <w:rPr>
          <w:rFonts w:ascii="Arial" w:hAnsi="Arial" w:cs="Arial"/>
        </w:rPr>
      </w:pPr>
      <w:r w:rsidRPr="00F946F5">
        <w:rPr>
          <w:rFonts w:ascii="Arial" w:hAnsi="Arial" w:cs="Arial"/>
        </w:rPr>
        <w:t>Resolução TSE nº 23.735/2024, art. 6°, § 5º</w:t>
      </w:r>
    </w:p>
    <w:p w14:paraId="32632B86" w14:textId="77777777" w:rsidR="00F946F5" w:rsidRPr="00F946F5" w:rsidRDefault="00F946F5" w:rsidP="00F946F5">
      <w:pPr>
        <w:numPr>
          <w:ilvl w:val="0"/>
          <w:numId w:val="4"/>
        </w:numPr>
        <w:jc w:val="both"/>
        <w:rPr>
          <w:rFonts w:ascii="Arial" w:hAnsi="Arial" w:cs="Arial"/>
        </w:rPr>
      </w:pPr>
      <w:r w:rsidRPr="00F946F5">
        <w:rPr>
          <w:rFonts w:ascii="Arial" w:hAnsi="Arial" w:cs="Arial"/>
        </w:rPr>
        <w:t>Resolução CSJT nº 355/2023 (republicada pela Resolução CSJT nº 376/2024)</w:t>
      </w:r>
    </w:p>
    <w:p w14:paraId="7EE2F7E1" w14:textId="4438DB66" w:rsidR="00545433" w:rsidRPr="00F946F5" w:rsidRDefault="00545433" w:rsidP="00F946F5">
      <w:pPr>
        <w:jc w:val="both"/>
        <w:rPr>
          <w:rFonts w:ascii="Arial" w:hAnsi="Arial" w:cs="Arial"/>
        </w:rPr>
      </w:pPr>
    </w:p>
    <w:sectPr w:rsidR="00545433" w:rsidRPr="00F946F5">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AA28C" w14:textId="77777777" w:rsidR="00BF7726" w:rsidRDefault="00BF7726" w:rsidP="00545433">
      <w:pPr>
        <w:spacing w:after="0" w:line="240" w:lineRule="auto"/>
      </w:pPr>
      <w:r>
        <w:separator/>
      </w:r>
    </w:p>
  </w:endnote>
  <w:endnote w:type="continuationSeparator" w:id="0">
    <w:p w14:paraId="52D35D49" w14:textId="77777777" w:rsidR="00BF7726" w:rsidRDefault="00BF7726" w:rsidP="0054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3568" w14:textId="123A8C38" w:rsidR="00545433" w:rsidRDefault="00545433">
    <w:pPr>
      <w:pStyle w:val="Rodap"/>
    </w:pPr>
    <w:r>
      <w:rPr>
        <w:noProof/>
      </w:rPr>
      <w:drawing>
        <wp:anchor distT="0" distB="0" distL="114300" distR="114300" simplePos="0" relativeHeight="251658240" behindDoc="1" locked="0" layoutInCell="1" allowOverlap="1" wp14:anchorId="035D6645" wp14:editId="199DAD4D">
          <wp:simplePos x="0" y="0"/>
          <wp:positionH relativeFrom="margin">
            <wp:align>center</wp:align>
          </wp:positionH>
          <wp:positionV relativeFrom="paragraph">
            <wp:posOffset>-88265</wp:posOffset>
          </wp:positionV>
          <wp:extent cx="6156960" cy="676275"/>
          <wp:effectExtent l="0" t="0" r="0" b="9525"/>
          <wp:wrapNone/>
          <wp:docPr id="21279397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39732" name="Imagem 2127939732"/>
                  <pic:cNvPicPr/>
                </pic:nvPicPr>
                <pic:blipFill>
                  <a:blip r:embed="rId1">
                    <a:extLst>
                      <a:ext uri="{28A0092B-C50C-407E-A947-70E740481C1C}">
                        <a14:useLocalDpi xmlns:a14="http://schemas.microsoft.com/office/drawing/2010/main" val="0"/>
                      </a:ext>
                    </a:extLst>
                  </a:blip>
                  <a:stretch>
                    <a:fillRect/>
                  </a:stretch>
                </pic:blipFill>
                <pic:spPr>
                  <a:xfrm>
                    <a:off x="0" y="0"/>
                    <a:ext cx="6156960" cy="676275"/>
                  </a:xfrm>
                  <a:prstGeom prst="rect">
                    <a:avLst/>
                  </a:prstGeom>
                </pic:spPr>
              </pic:pic>
            </a:graphicData>
          </a:graphic>
        </wp:anchor>
      </w:drawing>
    </w:r>
  </w:p>
  <w:p w14:paraId="3AC8D76B" w14:textId="77777777" w:rsidR="00545433" w:rsidRDefault="0054543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C4733" w14:textId="77777777" w:rsidR="00BF7726" w:rsidRDefault="00BF7726" w:rsidP="00545433">
      <w:pPr>
        <w:spacing w:after="0" w:line="240" w:lineRule="auto"/>
      </w:pPr>
      <w:r>
        <w:separator/>
      </w:r>
    </w:p>
  </w:footnote>
  <w:footnote w:type="continuationSeparator" w:id="0">
    <w:p w14:paraId="33B267A6" w14:textId="77777777" w:rsidR="00BF7726" w:rsidRDefault="00BF7726" w:rsidP="00545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596C"/>
    <w:multiLevelType w:val="hybridMultilevel"/>
    <w:tmpl w:val="8F287908"/>
    <w:lvl w:ilvl="0" w:tplc="1D941F86">
      <w:start w:val="1"/>
      <w:numFmt w:val="bullet"/>
      <w:lvlText w:val=""/>
      <w:lvlJc w:val="left"/>
      <w:pPr>
        <w:ind w:left="1429"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15:restartNumberingAfterBreak="0">
    <w:nsid w:val="0B9E6935"/>
    <w:multiLevelType w:val="hybridMultilevel"/>
    <w:tmpl w:val="616ABA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1618561A"/>
    <w:multiLevelType w:val="hybridMultilevel"/>
    <w:tmpl w:val="89180320"/>
    <w:lvl w:ilvl="0" w:tplc="04160005">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abstractNum w:abstractNumId="3" w15:restartNumberingAfterBreak="0">
    <w:nsid w:val="69B76C01"/>
    <w:multiLevelType w:val="hybridMultilevel"/>
    <w:tmpl w:val="414ECCA8"/>
    <w:lvl w:ilvl="0" w:tplc="04160005">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hint="default"/>
      </w:rPr>
    </w:lvl>
  </w:abstractNum>
  <w:num w:numId="1" w16cid:durableId="783383111">
    <w:abstractNumId w:val="2"/>
    <w:lvlOverride w:ilvl="0"/>
    <w:lvlOverride w:ilvl="1"/>
    <w:lvlOverride w:ilvl="2"/>
    <w:lvlOverride w:ilvl="3"/>
    <w:lvlOverride w:ilvl="4"/>
    <w:lvlOverride w:ilvl="5"/>
    <w:lvlOverride w:ilvl="6"/>
    <w:lvlOverride w:ilvl="7"/>
    <w:lvlOverride w:ilvl="8"/>
  </w:num>
  <w:num w:numId="2" w16cid:durableId="1709866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69389539">
    <w:abstractNumId w:val="3"/>
    <w:lvlOverride w:ilvl="0"/>
    <w:lvlOverride w:ilvl="1"/>
    <w:lvlOverride w:ilvl="2"/>
    <w:lvlOverride w:ilvl="3"/>
    <w:lvlOverride w:ilvl="4"/>
    <w:lvlOverride w:ilvl="5"/>
    <w:lvlOverride w:ilvl="6"/>
    <w:lvlOverride w:ilvl="7"/>
    <w:lvlOverride w:ilvl="8"/>
  </w:num>
  <w:num w:numId="4" w16cid:durableId="12143866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33"/>
    <w:rsid w:val="0029689D"/>
    <w:rsid w:val="00545433"/>
    <w:rsid w:val="006C5CB3"/>
    <w:rsid w:val="00BF7726"/>
    <w:rsid w:val="00C00B3F"/>
    <w:rsid w:val="00F94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296D7"/>
  <w15:chartTrackingRefBased/>
  <w15:docId w15:val="{02EC8570-3B07-4A49-A979-794D529D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454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454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4543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4543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4543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454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454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454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4543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4543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4543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45433"/>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45433"/>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45433"/>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4543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4543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4543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45433"/>
    <w:rPr>
      <w:rFonts w:eastAsiaTheme="majorEastAsia" w:cstheme="majorBidi"/>
      <w:color w:val="272727" w:themeColor="text1" w:themeTint="D8"/>
    </w:rPr>
  </w:style>
  <w:style w:type="paragraph" w:styleId="Ttulo">
    <w:name w:val="Title"/>
    <w:basedOn w:val="Normal"/>
    <w:next w:val="Normal"/>
    <w:link w:val="TtuloChar"/>
    <w:uiPriority w:val="10"/>
    <w:qFormat/>
    <w:rsid w:val="00545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454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4543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4543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45433"/>
    <w:pPr>
      <w:spacing w:before="160"/>
      <w:jc w:val="center"/>
    </w:pPr>
    <w:rPr>
      <w:i/>
      <w:iCs/>
      <w:color w:val="404040" w:themeColor="text1" w:themeTint="BF"/>
    </w:rPr>
  </w:style>
  <w:style w:type="character" w:customStyle="1" w:styleId="CitaoChar">
    <w:name w:val="Citação Char"/>
    <w:basedOn w:val="Fontepargpadro"/>
    <w:link w:val="Citao"/>
    <w:uiPriority w:val="29"/>
    <w:rsid w:val="00545433"/>
    <w:rPr>
      <w:i/>
      <w:iCs/>
      <w:color w:val="404040" w:themeColor="text1" w:themeTint="BF"/>
    </w:rPr>
  </w:style>
  <w:style w:type="paragraph" w:styleId="PargrafodaLista">
    <w:name w:val="List Paragraph"/>
    <w:basedOn w:val="Normal"/>
    <w:uiPriority w:val="34"/>
    <w:qFormat/>
    <w:rsid w:val="00545433"/>
    <w:pPr>
      <w:ind w:left="720"/>
      <w:contextualSpacing/>
    </w:pPr>
  </w:style>
  <w:style w:type="character" w:styleId="nfaseIntensa">
    <w:name w:val="Intense Emphasis"/>
    <w:basedOn w:val="Fontepargpadro"/>
    <w:uiPriority w:val="21"/>
    <w:qFormat/>
    <w:rsid w:val="00545433"/>
    <w:rPr>
      <w:i/>
      <w:iCs/>
      <w:color w:val="2F5496" w:themeColor="accent1" w:themeShade="BF"/>
    </w:rPr>
  </w:style>
  <w:style w:type="paragraph" w:styleId="CitaoIntensa">
    <w:name w:val="Intense Quote"/>
    <w:basedOn w:val="Normal"/>
    <w:next w:val="Normal"/>
    <w:link w:val="CitaoIntensaChar"/>
    <w:uiPriority w:val="30"/>
    <w:qFormat/>
    <w:rsid w:val="005454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45433"/>
    <w:rPr>
      <w:i/>
      <w:iCs/>
      <w:color w:val="2F5496" w:themeColor="accent1" w:themeShade="BF"/>
    </w:rPr>
  </w:style>
  <w:style w:type="character" w:styleId="RefernciaIntensa">
    <w:name w:val="Intense Reference"/>
    <w:basedOn w:val="Fontepargpadro"/>
    <w:uiPriority w:val="32"/>
    <w:qFormat/>
    <w:rsid w:val="00545433"/>
    <w:rPr>
      <w:b/>
      <w:bCs/>
      <w:smallCaps/>
      <w:color w:val="2F5496" w:themeColor="accent1" w:themeShade="BF"/>
      <w:spacing w:val="5"/>
    </w:rPr>
  </w:style>
  <w:style w:type="paragraph" w:styleId="Cabealho">
    <w:name w:val="header"/>
    <w:basedOn w:val="Normal"/>
    <w:link w:val="CabealhoChar"/>
    <w:uiPriority w:val="99"/>
    <w:unhideWhenUsed/>
    <w:rsid w:val="005454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5433"/>
  </w:style>
  <w:style w:type="paragraph" w:styleId="Rodap">
    <w:name w:val="footer"/>
    <w:basedOn w:val="Normal"/>
    <w:link w:val="RodapChar"/>
    <w:uiPriority w:val="99"/>
    <w:unhideWhenUsed/>
    <w:rsid w:val="00545433"/>
    <w:pPr>
      <w:tabs>
        <w:tab w:val="center" w:pos="4252"/>
        <w:tab w:val="right" w:pos="8504"/>
      </w:tabs>
      <w:spacing w:after="0" w:line="240" w:lineRule="auto"/>
    </w:pPr>
  </w:style>
  <w:style w:type="character" w:customStyle="1" w:styleId="RodapChar">
    <w:name w:val="Rodapé Char"/>
    <w:basedOn w:val="Fontepargpadro"/>
    <w:link w:val="Rodap"/>
    <w:uiPriority w:val="99"/>
    <w:rsid w:val="00545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2671</Words>
  <Characters>14427</Characters>
  <Application>Microsoft Office Word</Application>
  <DocSecurity>0</DocSecurity>
  <Lines>120</Lines>
  <Paragraphs>34</Paragraphs>
  <ScaleCrop>false</ScaleCrop>
  <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DA FONSECA</dc:creator>
  <cp:keywords/>
  <dc:description/>
  <cp:lastModifiedBy>RENATO DA FONSECA</cp:lastModifiedBy>
  <cp:revision>2</cp:revision>
  <dcterms:created xsi:type="dcterms:W3CDTF">2026-07-16T22:09:00Z</dcterms:created>
  <dcterms:modified xsi:type="dcterms:W3CDTF">2026-07-16T22:09:00Z</dcterms:modified>
</cp:coreProperties>
</file>